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Ingredient Declaration Form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无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Note: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In order to complete the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declaration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, you may need the support of your sustainability department. If your company does not have relevant personnel, you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may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also consult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 RESET AP: info@reset.build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Also note that confidential ingredients may be shown as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‘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proprietary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when declared and certified via the PID (Product Ingredient Declaration) Standard.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You may remove this note when submitting the form to a project team.</w:t>
      </w: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zh-CN" w:eastAsia="zh-CN"/>
        </w:rPr>
        <w:t>————————</w:t>
      </w:r>
      <w:r>
        <w:rPr>
          <w:rFonts w:ascii="Arial" w:hAnsi="Arial" w:hint="default"/>
          <w:b w:val="1"/>
          <w:bCs w:val="1"/>
          <w:rtl w:val="0"/>
          <w:lang w:val="en-US"/>
        </w:rPr>
        <w:t>————————————————————————</w:t>
      </w:r>
      <w:r>
        <w:rPr>
          <w:rFonts w:ascii="Arial" w:hAnsi="Arial" w:hint="default"/>
          <w:b w:val="1"/>
          <w:bCs w:val="1"/>
          <w:rtl w:val="0"/>
          <w:lang w:val="zh-CN" w:eastAsia="zh-CN"/>
        </w:rPr>
        <w:t>——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Product Ingredients </w:t>
      </w:r>
      <w:r>
        <w:rPr>
          <w:rFonts w:ascii="Arial" w:hAnsi="Arial"/>
          <w:b w:val="1"/>
          <w:bCs w:val="1"/>
          <w:rtl w:val="0"/>
          <w:lang w:val="en-US"/>
        </w:rPr>
        <w:t>/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Bill of Materials (BOM)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fill in form below, as per one of the following three options. Note that the three options will yield different scores do to different levels of data quality.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Option 1: Low Score: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All components are provided as a percentage of the total product weight. The sum of the components is 100%.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Option 2: Mid Score: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All ingredients greater or equal to 0.1% of the total product weight (</w:t>
      </w:r>
      <w:r>
        <w:rPr>
          <w:rFonts w:ascii="Arial" w:hAnsi="Arial" w:hint="default"/>
          <w:rtl w:val="0"/>
          <w:lang w:val="en-US"/>
        </w:rPr>
        <w:t>≥</w:t>
      </w:r>
      <w:r>
        <w:rPr>
          <w:rFonts w:ascii="Arial" w:hAnsi="Arial"/>
          <w:rtl w:val="0"/>
          <w:lang w:val="en-US"/>
        </w:rPr>
        <w:t>1000ppm) are provided below. The sum of all ingredients inclusive of those smaller than 0.1% is 100%. Results are derived from aggregating supply chain information.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Option 3: High Score: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All ingredients greater or equal to 0.01% of the total product weight (</w:t>
      </w:r>
      <w:r>
        <w:rPr>
          <w:rFonts w:ascii="Arial" w:hAnsi="Arial" w:hint="default"/>
          <w:rtl w:val="0"/>
          <w:lang w:val="en-US"/>
        </w:rPr>
        <w:t>≥</w:t>
      </w:r>
      <w:r>
        <w:rPr>
          <w:rFonts w:ascii="Arial" w:hAnsi="Arial"/>
          <w:rtl w:val="0"/>
          <w:lang w:val="en-US"/>
        </w:rPr>
        <w:t>100ppm) are provided below. The sum of all ingredients inclusive of those smaller than 0.01% is 100%. Results are derived from aggregating supply chain information.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OR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All ingredients greater or equal to 0.03% of the total product weight (</w:t>
      </w:r>
      <w:r>
        <w:rPr>
          <w:rFonts w:ascii="Arial" w:hAnsi="Arial" w:hint="default"/>
          <w:rtl w:val="0"/>
          <w:lang w:val="en-US"/>
        </w:rPr>
        <w:t>≥</w:t>
      </w:r>
      <w:r>
        <w:rPr>
          <w:rFonts w:ascii="Arial" w:hAnsi="Arial"/>
          <w:rtl w:val="0"/>
          <w:lang w:val="en-US"/>
        </w:rPr>
        <w:t>300ppm) are provided below. The sum of all ingredients inclusive of those smaller than 0.03% is 100%. Results are derived from laboratory tests as per the PID (Product Ingredient Declaration) Standard.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</w:p>
    <w:p>
      <w:pPr>
        <w:pStyle w:val="Normal.0"/>
        <w:spacing w:line="288" w:lineRule="auto"/>
        <w:rPr>
          <w:rFonts w:ascii="Arial" w:cs="Arial" w:hAnsi="Arial" w:eastAsia="Arial"/>
        </w:rPr>
      </w:pPr>
    </w:p>
    <w:tbl>
      <w:tblPr>
        <w:tblW w:w="9404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49"/>
        <w:gridCol w:w="1751"/>
        <w:gridCol w:w="1751"/>
        <w:gridCol w:w="1751"/>
        <w:gridCol w:w="1751"/>
        <w:gridCol w:w="1751"/>
      </w:tblGrid>
      <w:tr>
        <w:tblPrEx>
          <w:shd w:val="clear" w:color="auto" w:fill="ceddeb"/>
        </w:tblPrEx>
        <w:trPr>
          <w:trHeight w:val="797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No.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Component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Ingredient Name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#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Content*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Style w:val="无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Source Location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(Country / City)</w:t>
            </w:r>
          </w:p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e4f0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649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4" w:hRule="atLeast"/>
        </w:trPr>
        <w:tc>
          <w:tcPr>
            <w:tcW w:type="dxa" w:w="9404"/>
            <w:gridSpan w:val="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deb"/>
        </w:tblPrEx>
        <w:trPr>
          <w:trHeight w:val="883" w:hRule="atLeast"/>
        </w:trPr>
        <w:tc>
          <w:tcPr>
            <w:tcW w:type="dxa" w:w="9404"/>
            <w:gridSpan w:val="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*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Ingredients must be declared to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minimum of 1% under Option1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0.1% (1000ppm) under Option 2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0.01%</w:t>
            </w:r>
            <w:r>
              <w:rPr>
                <w:rStyle w:val="无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(100ppm) or 0.03% (300ppm) under Option 3</w:t>
            </w:r>
          </w:p>
        </w:tc>
      </w:tr>
    </w:tbl>
    <w:p>
      <w:pPr>
        <w:pStyle w:val="Normal.0"/>
        <w:widowControl w:val="0"/>
        <w:spacing w:line="288" w:lineRule="auto"/>
        <w:ind w:left="218" w:hanging="218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18" w:hanging="218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18" w:hanging="218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Documentation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P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lease provide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 xml:space="preserve">supporting 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certifications</w:t>
      </w:r>
      <w:r>
        <w:rPr>
          <w:rFonts w:ascii="Arial" w:hAnsi="Arial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, declarations or test reports as attachments to this declaration, if any.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</w:p>
    <w:p>
      <w:pPr>
        <w:pStyle w:val="Normal.0"/>
        <w:widowControl w:val="0"/>
        <w:spacing w:line="288" w:lineRule="auto"/>
        <w:ind w:left="218" w:hanging="218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Confirmation</w:t>
      </w:r>
    </w:p>
    <w:p>
      <w:pPr>
        <w:pStyle w:val="Normal.0"/>
        <w:widowControl w:val="0"/>
        <w:spacing w:line="288" w:lineRule="auto"/>
        <w:ind w:left="218" w:hanging="218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 confirm that the information above is accurate. 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Signature</w:t>
      </w:r>
    </w:p>
    <w:p>
      <w:pPr>
        <w:pStyle w:val="Normal.0"/>
        <w:widowControl w:val="0"/>
        <w:spacing w:line="288" w:lineRule="auto"/>
        <w:ind w:left="2" w:hanging="2"/>
        <w:rPr>
          <w:rFonts w:ascii="Arial" w:cs="Arial" w:hAnsi="Arial" w:eastAsia="Arial"/>
          <w:lang w:val="zh-TW" w:eastAsia="zh-TW"/>
        </w:rPr>
      </w:pPr>
    </w:p>
    <w:p>
      <w:pPr>
        <w:pStyle w:val="Normal.0"/>
        <w:widowControl w:val="0"/>
        <w:spacing w:line="288" w:lineRule="auto"/>
        <w:ind w:left="2" w:hanging="2"/>
      </w:pPr>
      <w:r>
        <w:rPr>
          <w:rFonts w:ascii="Arial" w:hAnsi="Arial"/>
          <w:rtl w:val="0"/>
          <w:lang w:val="de-DE"/>
        </w:rPr>
        <w:t>Date</w:t>
      </w:r>
      <w:r>
        <w:rPr>
          <w:rStyle w:val="无"/>
          <w:rFonts w:ascii="Arial" w:cs="Arial" w:hAnsi="Arial" w:eastAsia="Arial"/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 A"/>
      <w:tabs>
        <w:tab w:val="center" w:pos="4819"/>
        <w:tab w:val="right" w:pos="9612"/>
        <w:tab w:val="clear" w:pos="9020"/>
      </w:tabs>
      <w:jc w:val="right"/>
    </w:pPr>
    <w:r>
      <w:rPr>
        <w:rStyle w:val="无"/>
        <w:rFonts w:ascii="Calibri" w:hAnsi="Calibri"/>
        <w:i w:val="1"/>
        <w:iCs w:val="1"/>
        <w:outline w:val="0"/>
        <w:color w:val="7f7f7f"/>
        <w:sz w:val="18"/>
        <w:szCs w:val="18"/>
        <w:u w:color="7f7f7f"/>
        <w:rtl w:val="0"/>
        <w:lang w:val="zh-CN" w:eastAsia="zh-CN"/>
        <w14:textFill>
          <w14:solidFill>
            <w14:srgbClr w14:val="7F7F7F"/>
          </w14:solidFill>
        </w14:textFill>
      </w:rPr>
      <w:t xml:space="preserve">  page </w: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begin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instrText xml:space="preserve"> PAGE </w:instrTex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end" w:fldLock="0"/>
    </w:r>
    <w:r>
      <w:rPr>
        <w:rStyle w:val="无"/>
        <w:rFonts w:ascii="Calibri" w:hAnsi="Calibri"/>
        <w:i w:val="1"/>
        <w:iCs w:val="1"/>
        <w:outline w:val="0"/>
        <w:color w:val="7f7f7f"/>
        <w:sz w:val="18"/>
        <w:szCs w:val="18"/>
        <w:u w:color="7f7f7f"/>
        <w:rtl w:val="0"/>
        <w:lang w:val="zh-CN" w:eastAsia="zh-CN"/>
        <w14:textFill>
          <w14:solidFill>
            <w14:srgbClr w14:val="7F7F7F"/>
          </w14:solidFill>
        </w14:textFill>
      </w:rPr>
      <w:t xml:space="preserve"> / </w: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begin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instrText xml:space="preserve"> NUMPAGES </w:instrText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</w:r>
    <w:r>
      <w:rPr>
        <w:rStyle w:val="无"/>
        <w:rFonts w:ascii="Calibri" w:cs="Calibri" w:hAnsi="Calibri" w:eastAsia="Calibri"/>
        <w:i w:val="1"/>
        <w:iCs w:val="1"/>
        <w:outline w:val="0"/>
        <w:color w:val="7f7f7f"/>
        <w:sz w:val="18"/>
        <w:szCs w:val="18"/>
        <w:u w:color="7f7f7f"/>
        <w:lang w:val="zh-TW" w:eastAsia="zh-TW"/>
        <w14:textFill>
          <w14:solidFill>
            <w14:srgbClr w14:val="7F7F7F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 A"/>
      <w:tabs>
        <w:tab w:val="center" w:pos="4819"/>
        <w:tab w:val="right" w:pos="9612"/>
        <w:tab w:val="clear" w:pos="9020"/>
      </w:tabs>
    </w:pPr>
    <w:r>
      <w:rPr>
        <w:rStyle w:val="无"/>
      </w:rPr>
      <w:tab/>
      <w:tab/>
    </w:r>
    <w:r>
      <w:rPr>
        <w:rStyle w:val="无"/>
      </w:rPr>
      <w:drawing xmlns:a="http://schemas.openxmlformats.org/drawingml/2006/main">
        <wp:inline distT="0" distB="0" distL="0" distR="0">
          <wp:extent cx="524852" cy="524852"/>
          <wp:effectExtent l="0" t="0" r="0" b="0"/>
          <wp:docPr id="1073741825" name="officeArt object" descr="reset_logo_official_black_191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et_logo_official_black_191017.png" descr="reset_logo_official_black_191017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52" cy="5248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无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 A">
    <w:name w:val="页眉与页脚 A"/>
    <w:next w:val="页眉与页脚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无">
    <w:name w:val="无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